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D0DB9" w:rsidR="007D0DB9" w:rsidP="007D0DB9" w:rsidRDefault="007D0DB9" w14:paraId="45CF8E96" w14:textId="77777777">
      <w:pPr>
        <w:shd w:val="clear" w:color="auto" w:fill="FFFFFF"/>
        <w:spacing w:before="180" w:after="180" w:line="240" w:lineRule="auto"/>
        <w:outlineLvl w:val="3"/>
        <w:rPr>
          <w:rFonts w:ascii="Merriweather" w:hAnsi="Merriweather" w:eastAsia="Times New Roman" w:cs="Times New Roman"/>
          <w:b/>
          <w:bCs/>
          <w:color w:val="222222"/>
          <w:kern w:val="0"/>
          <w:sz w:val="42"/>
          <w:szCs w:val="42"/>
          <w14:ligatures w14:val="none"/>
        </w:rPr>
      </w:pPr>
      <w:r w:rsidRPr="007D0DB9">
        <w:rPr>
          <w:rFonts w:ascii="Merriweather" w:hAnsi="Merriweather" w:eastAsia="Times New Roman" w:cs="Times New Roman"/>
          <w:b/>
          <w:bCs/>
          <w:color w:val="222222"/>
          <w:kern w:val="0"/>
          <w:sz w:val="42"/>
          <w:szCs w:val="42"/>
          <w14:ligatures w14:val="none"/>
        </w:rPr>
        <w:t>Backing Safety Solutions</w:t>
      </w:r>
    </w:p>
    <w:p w:rsidRPr="007D0DB9" w:rsidR="007D0DB9" w:rsidP="007D0DB9" w:rsidRDefault="007D0DB9" w14:paraId="469DDBCC" w14:textId="77777777">
      <w:pPr>
        <w:shd w:val="clear" w:color="auto" w:fill="FFFFFF"/>
        <w:spacing w:before="180" w:after="180" w:line="240" w:lineRule="auto"/>
        <w:outlineLvl w:val="4"/>
        <w:rPr>
          <w:rFonts w:ascii="Merriweather" w:hAnsi="Merriweather"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</w:pPr>
      <w:r w:rsidRPr="007D0DB9">
        <w:rPr>
          <w:rFonts w:ascii="Merriweather" w:hAnsi="Merriweather"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Spotter</w:t>
      </w:r>
    </w:p>
    <w:p w:rsidRPr="007D0DB9" w:rsidR="007D0DB9" w:rsidP="007D0DB9" w:rsidRDefault="007D0DB9" w14:paraId="3105E9A4" w14:textId="54B2331E">
      <w:pPr>
        <w:shd w:val="clear" w:color="auto" w:fill="FFFFFF"/>
        <w:spacing w:after="18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 xml:space="preserve">Spotters are a proven method of protecting employees on foot behind vehicles with an obstructed view, but spotters themselves can be at risk for injury or even death. </w:t>
      </w:r>
      <w:r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We</w:t>
      </w: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 xml:space="preserve"> can implement the following actions to help keep spotters safe:</w:t>
      </w:r>
    </w:p>
    <w:p w:rsidRPr="007D0DB9" w:rsidR="007D0DB9" w:rsidP="007D0DB9" w:rsidRDefault="007D0DB9" w14:paraId="4AE10BD3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Ensure that spotters and drivers agree on hand signals before backing up.</w:t>
      </w:r>
    </w:p>
    <w:p w:rsidRPr="007D0DB9" w:rsidR="007D0DB9" w:rsidP="007D0DB9" w:rsidRDefault="007D0DB9" w14:paraId="368F6FED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Instruct spotters to always maintain visual contact with the driver while the vehicle is backing.</w:t>
      </w:r>
    </w:p>
    <w:p w:rsidRPr="007D0DB9" w:rsidR="007D0DB9" w:rsidP="007D0DB9" w:rsidRDefault="007D0DB9" w14:paraId="37C59B82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Instruct drivers to stop backing immediately if they lose sight of the spotter.</w:t>
      </w:r>
    </w:p>
    <w:p w:rsidRPr="007D0DB9" w:rsidR="007D0DB9" w:rsidP="007D0DB9" w:rsidRDefault="007D0DB9" w14:paraId="32EB9DD9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Not give spotters additional duties while they are acting as spotters.</w:t>
      </w:r>
    </w:p>
    <w:p w:rsidRPr="007D0DB9" w:rsidR="007D0DB9" w:rsidP="007D0DB9" w:rsidRDefault="007D0DB9" w14:paraId="14135C96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Instruct spotters not to use personal mobile phones, personal headphones, or other items which could pose a distraction during spotting activities.</w:t>
      </w:r>
    </w:p>
    <w:p w:rsidR="007D0DB9" w:rsidP="007D0DB9" w:rsidRDefault="007D0DB9" w14:paraId="45D3964C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Provide spotters with high-visibility clothing, especially during night operations.</w:t>
      </w:r>
    </w:p>
    <w:p w:rsidR="007D0DB9" w:rsidP="007D0DB9" w:rsidRDefault="007D0DB9" w14:paraId="62466234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</w:p>
    <w:p w:rsidRPr="007D0DB9" w:rsidR="007D0DB9" w:rsidP="007D0DB9" w:rsidRDefault="007D0DB9" w14:paraId="22D487C7" w14:textId="458F1FE7">
      <w:pPr>
        <w:shd w:val="clear" w:color="auto" w:fill="FFFFFF"/>
        <w:spacing w:after="0" w:line="240" w:lineRule="auto"/>
        <w:rPr>
          <w:b/>
          <w:bCs/>
          <w:noProof/>
          <w:color w:val="FF0000"/>
          <w:sz w:val="28"/>
          <w:szCs w:val="28"/>
        </w:rPr>
      </w:pPr>
      <w:r w:rsidRPr="007D0DB9">
        <w:rPr>
          <w:b/>
          <w:bCs/>
          <w:noProof/>
          <w:color w:val="FF0000"/>
          <w:sz w:val="28"/>
          <w:szCs w:val="28"/>
        </w:rPr>
        <w:t>SPOTTING SIGNALS</w:t>
      </w:r>
    </w:p>
    <w:p w:rsidR="007D0DB9" w:rsidP="007D0DB9" w:rsidRDefault="007D0DB9" w14:paraId="6F5D15C2" w14:textId="77777777">
      <w:pPr>
        <w:shd w:val="clear" w:color="auto" w:fill="FFFFFF"/>
        <w:spacing w:after="0" w:line="240" w:lineRule="auto"/>
        <w:rPr>
          <w:noProof/>
        </w:rPr>
      </w:pPr>
    </w:p>
    <w:p w:rsidR="007D0DB9" w:rsidP="007D0DB9" w:rsidRDefault="007D0DB9" w14:paraId="57236417" w14:textId="76A8AD7C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="007D0DB9">
        <w:drawing>
          <wp:inline wp14:editId="130039A6" wp14:anchorId="401454B3">
            <wp:extent cx="5473640" cy="3766637"/>
            <wp:effectExtent l="0" t="0" r="0" b="5715"/>
            <wp:docPr id="54209294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f3e523f45eb49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3640" cy="376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D0DB9" w:rsidR="00E0709F" w:rsidP="007D0DB9" w:rsidRDefault="00E0709F" w14:paraId="551974CB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</w:p>
    <w:p w:rsidRPr="007D0DB9" w:rsidR="007D0DB9" w:rsidP="007D0DB9" w:rsidRDefault="007D0DB9" w14:paraId="6139B71A" w14:textId="77777777">
      <w:pPr>
        <w:shd w:val="clear" w:color="auto" w:fill="FFFFFF"/>
        <w:spacing w:after="180" w:line="240" w:lineRule="auto"/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</w:pPr>
      <w:r w:rsidRPr="007D0DB9">
        <w:rPr>
          <w:rFonts w:ascii="Source Sans Pro" w:hAnsi="Source Sans Pro" w:eastAsia="Times New Roman" w:cs="Times New Roman"/>
          <w:color w:val="212121"/>
          <w:kern w:val="0"/>
          <w:sz w:val="26"/>
          <w:szCs w:val="26"/>
          <w14:ligatures w14:val="none"/>
        </w:rPr>
        <w:t> </w:t>
      </w:r>
    </w:p>
    <w:sectPr w:rsidRPr="007D0DB9" w:rsidR="007D0D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70BB9"/>
    <w:multiLevelType w:val="multilevel"/>
    <w:tmpl w:val="B14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2411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B9"/>
    <w:rsid w:val="005B2541"/>
    <w:rsid w:val="005D51F3"/>
    <w:rsid w:val="007D0DB9"/>
    <w:rsid w:val="00D1150B"/>
    <w:rsid w:val="00E0709F"/>
    <w:rsid w:val="00F54138"/>
    <w:rsid w:val="1B96C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6229"/>
  <w15:chartTrackingRefBased/>
  <w15:docId w15:val="{85E023B3-8BB4-4F1D-B865-D567EE42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D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D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0D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0D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0D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0D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0D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0D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0D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0D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D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0D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DB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D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ff3e523f45eb49fb" Type="http://schemas.openxmlformats.org/officeDocument/2006/relationships/image" Target="/media/image2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FA1D025-ABC5-4F5D-867F-CEDBA8F84964}"/>
</file>

<file path=customXml/itemProps2.xml><?xml version="1.0" encoding="utf-8"?>
<ds:datastoreItem xmlns:ds="http://schemas.openxmlformats.org/officeDocument/2006/customXml" ds:itemID="{1E7567DC-6C2B-4928-9566-8F8D379C9098}"/>
</file>

<file path=customXml/itemProps3.xml><?xml version="1.0" encoding="utf-8"?>
<ds:datastoreItem xmlns:ds="http://schemas.openxmlformats.org/officeDocument/2006/customXml" ds:itemID="{DC98C992-A1BE-42E5-83BC-C29227E943BA}"/>
</file>

<file path=customXml/itemProps4.xml><?xml version="1.0" encoding="utf-8"?>
<ds:datastoreItem xmlns:ds="http://schemas.openxmlformats.org/officeDocument/2006/customXml" ds:itemID="{CFFCA135-0BAF-4B1E-B088-2A1686475B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Harp, David R</dc:creator>
  <cp:keywords/>
  <dc:description/>
  <cp:lastModifiedBy>Harp, David R</cp:lastModifiedBy>
  <cp:revision>3</cp:revision>
  <dcterms:created xsi:type="dcterms:W3CDTF">2025-04-23T12:16:00Z</dcterms:created>
  <dcterms:modified xsi:type="dcterms:W3CDTF">2025-04-23T17:27:54Z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MediaServiceImageTags">
    <vt:lpwstr/>
  </property>
  <property fmtid="{D5CDD505-2E9C-101B-9397-08002B2CF9AE}" pid="4" name="Order">
    <vt:r8>1500</vt:r8>
  </property>
</Properties>
</file>